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1FD" w:rsidRPr="001A05FF" w:rsidRDefault="00C371FD" w:rsidP="00F7227E">
      <w:pPr>
        <w:pStyle w:val="Default"/>
        <w:jc w:val="both"/>
        <w:rPr>
          <w:rFonts w:ascii="Arial" w:hAnsi="Arial" w:cs="Arial"/>
          <w:sz w:val="22"/>
          <w:szCs w:val="22"/>
          <w:lang w:val="en-GB"/>
        </w:rPr>
      </w:pPr>
    </w:p>
    <w:p w:rsidR="00C371FD" w:rsidRPr="001A05FF" w:rsidRDefault="00C371FD" w:rsidP="00F7227E">
      <w:pPr>
        <w:pStyle w:val="Default"/>
        <w:jc w:val="both"/>
        <w:rPr>
          <w:rFonts w:ascii="Arial" w:hAnsi="Arial" w:cs="Arial"/>
          <w:sz w:val="22"/>
          <w:szCs w:val="22"/>
          <w:lang w:val="en-GB"/>
        </w:rPr>
      </w:pPr>
      <w:r w:rsidRPr="001A05FF">
        <w:rPr>
          <w:rFonts w:ascii="Arial" w:hAnsi="Arial" w:cs="Arial"/>
          <w:sz w:val="22"/>
          <w:szCs w:val="22"/>
          <w:lang w:val="en-GB"/>
        </w:rPr>
        <w:t>29th October 2015</w:t>
      </w:r>
    </w:p>
    <w:p w:rsidR="00C371FD" w:rsidRPr="001A05FF" w:rsidRDefault="00C371FD" w:rsidP="00F7227E">
      <w:pPr>
        <w:pStyle w:val="Default"/>
        <w:jc w:val="both"/>
        <w:rPr>
          <w:rFonts w:ascii="Arial" w:hAnsi="Arial" w:cs="Arial"/>
          <w:sz w:val="22"/>
          <w:szCs w:val="22"/>
          <w:lang w:val="en-GB"/>
        </w:rPr>
      </w:pPr>
    </w:p>
    <w:p w:rsidR="00C371FD" w:rsidRPr="001A05FF" w:rsidRDefault="00C371FD" w:rsidP="00F7227E">
      <w:pPr>
        <w:pStyle w:val="Default"/>
        <w:jc w:val="both"/>
        <w:rPr>
          <w:rFonts w:ascii="Arial" w:hAnsi="Arial" w:cs="Arial"/>
          <w:b/>
          <w:bCs/>
          <w:sz w:val="22"/>
          <w:szCs w:val="22"/>
          <w:lang w:val="en-GB"/>
        </w:rPr>
      </w:pPr>
      <w:r w:rsidRPr="001A05FF">
        <w:rPr>
          <w:rFonts w:ascii="Arial" w:hAnsi="Arial" w:cs="Arial"/>
          <w:b/>
          <w:bCs/>
          <w:sz w:val="22"/>
          <w:szCs w:val="22"/>
          <w:lang w:val="en-GB"/>
        </w:rPr>
        <w:t xml:space="preserve">YOKOHAMA’s “ADVAN” Racing Tyres Selected as Control Tyre for Asia’s Top Formula Race Series </w:t>
      </w:r>
    </w:p>
    <w:p w:rsidR="00F7227E" w:rsidRPr="001A05FF" w:rsidRDefault="00F7227E" w:rsidP="00F7227E">
      <w:pPr>
        <w:pStyle w:val="Default"/>
        <w:jc w:val="both"/>
        <w:rPr>
          <w:rFonts w:ascii="Arial" w:hAnsi="Arial" w:cs="Arial"/>
          <w:sz w:val="22"/>
          <w:szCs w:val="22"/>
          <w:lang w:val="en-GB"/>
        </w:rPr>
      </w:pPr>
    </w:p>
    <w:p w:rsidR="00C371FD" w:rsidRPr="001A05FF" w:rsidRDefault="00C371FD" w:rsidP="00F7227E">
      <w:pPr>
        <w:pStyle w:val="Default"/>
        <w:jc w:val="both"/>
        <w:rPr>
          <w:rFonts w:ascii="Arial" w:hAnsi="Arial" w:cs="Arial"/>
          <w:sz w:val="22"/>
          <w:szCs w:val="22"/>
          <w:lang w:val="en-GB"/>
        </w:rPr>
      </w:pPr>
      <w:r w:rsidRPr="001A05FF">
        <w:rPr>
          <w:rFonts w:ascii="Arial" w:hAnsi="Arial" w:cs="Arial"/>
          <w:sz w:val="22"/>
          <w:szCs w:val="22"/>
          <w:lang w:val="en-GB"/>
        </w:rPr>
        <w:t xml:space="preserve">Tokyo </w:t>
      </w:r>
      <w:r w:rsidR="00105E9C" w:rsidRPr="001A05FF">
        <w:rPr>
          <w:rFonts w:ascii="Arial" w:hAnsi="Arial" w:cs="Arial"/>
          <w:sz w:val="22"/>
          <w:szCs w:val="22"/>
          <w:lang w:val="en-GB"/>
        </w:rPr>
        <w:t>-</w:t>
      </w:r>
      <w:r w:rsidRPr="001A05FF">
        <w:rPr>
          <w:rFonts w:ascii="Arial" w:hAnsi="Arial" w:cs="Arial"/>
          <w:sz w:val="22"/>
          <w:szCs w:val="22"/>
          <w:lang w:val="en-GB"/>
        </w:rPr>
        <w:t xml:space="preserve"> The Yokohama Rubber Co., Ltd</w:t>
      </w:r>
      <w:proofErr w:type="gramStart"/>
      <w:r w:rsidRPr="001A05FF">
        <w:rPr>
          <w:rFonts w:ascii="Arial" w:hAnsi="Arial" w:cs="Arial"/>
          <w:sz w:val="22"/>
          <w:szCs w:val="22"/>
          <w:lang w:val="en-GB"/>
        </w:rPr>
        <w:t>.,</w:t>
      </w:r>
      <w:proofErr w:type="gramEnd"/>
      <w:r w:rsidRPr="001A05FF">
        <w:rPr>
          <w:rFonts w:ascii="Arial" w:hAnsi="Arial" w:cs="Arial"/>
          <w:sz w:val="22"/>
          <w:szCs w:val="22"/>
          <w:lang w:val="en-GB"/>
        </w:rPr>
        <w:t xml:space="preserve"> announced </w:t>
      </w:r>
      <w:r w:rsidR="00105E9C" w:rsidRPr="001A05FF">
        <w:rPr>
          <w:rFonts w:ascii="Arial" w:hAnsi="Arial" w:cs="Arial"/>
          <w:sz w:val="22"/>
          <w:szCs w:val="22"/>
          <w:lang w:val="en-GB"/>
        </w:rPr>
        <w:t>today that its “ADVAN” racing ty</w:t>
      </w:r>
      <w:r w:rsidRPr="001A05FF">
        <w:rPr>
          <w:rFonts w:ascii="Arial" w:hAnsi="Arial" w:cs="Arial"/>
          <w:sz w:val="22"/>
          <w:szCs w:val="22"/>
          <w:lang w:val="en-GB"/>
        </w:rPr>
        <w:t>re had been selected as sole control t</w:t>
      </w:r>
      <w:r w:rsidR="00105E9C" w:rsidRPr="001A05FF">
        <w:rPr>
          <w:rFonts w:ascii="Arial" w:hAnsi="Arial" w:cs="Arial"/>
          <w:sz w:val="22"/>
          <w:szCs w:val="22"/>
          <w:lang w:val="en-GB"/>
        </w:rPr>
        <w:t>y</w:t>
      </w:r>
      <w:r w:rsidRPr="001A05FF">
        <w:rPr>
          <w:rFonts w:ascii="Arial" w:hAnsi="Arial" w:cs="Arial"/>
          <w:sz w:val="22"/>
          <w:szCs w:val="22"/>
          <w:lang w:val="en-GB"/>
        </w:rPr>
        <w:t>re for the Japanese SUPER FORMULA Championship Series from 20</w:t>
      </w:r>
      <w:r w:rsidR="00105E9C" w:rsidRPr="001A05FF">
        <w:rPr>
          <w:rFonts w:ascii="Arial" w:hAnsi="Arial" w:cs="Arial"/>
          <w:sz w:val="22"/>
          <w:szCs w:val="22"/>
          <w:lang w:val="en-GB"/>
        </w:rPr>
        <w:t>16. The supplied ty</w:t>
      </w:r>
      <w:r w:rsidRPr="001A05FF">
        <w:rPr>
          <w:rFonts w:ascii="Arial" w:hAnsi="Arial" w:cs="Arial"/>
          <w:sz w:val="22"/>
          <w:szCs w:val="22"/>
          <w:lang w:val="en-GB"/>
        </w:rPr>
        <w:t>res will be the “ADVAN A005” for use in dry conditions and the “ADVAN A006” fo</w:t>
      </w:r>
      <w:r w:rsidR="00105E9C" w:rsidRPr="001A05FF">
        <w:rPr>
          <w:rFonts w:ascii="Arial" w:hAnsi="Arial" w:cs="Arial"/>
          <w:sz w:val="22"/>
          <w:szCs w:val="22"/>
          <w:lang w:val="en-GB"/>
        </w:rPr>
        <w:t>r use in wet conditions. Both ty</w:t>
      </w:r>
      <w:r w:rsidRPr="001A05FF">
        <w:rPr>
          <w:rFonts w:ascii="Arial" w:hAnsi="Arial" w:cs="Arial"/>
          <w:sz w:val="22"/>
          <w:szCs w:val="22"/>
          <w:lang w:val="en-GB"/>
        </w:rPr>
        <w:t>res use YOKOHAMA’s proprietary Orange Oil compounding technique to achieve outstanding environmental performance while ensuring superior grip performance. The control t</w:t>
      </w:r>
      <w:r w:rsidR="00105E9C" w:rsidRPr="001A05FF">
        <w:rPr>
          <w:rFonts w:ascii="Arial" w:hAnsi="Arial" w:cs="Arial"/>
          <w:sz w:val="22"/>
          <w:szCs w:val="22"/>
          <w:lang w:val="en-GB"/>
        </w:rPr>
        <w:t>y</w:t>
      </w:r>
      <w:r w:rsidRPr="001A05FF">
        <w:rPr>
          <w:rFonts w:ascii="Arial" w:hAnsi="Arial" w:cs="Arial"/>
          <w:sz w:val="22"/>
          <w:szCs w:val="22"/>
          <w:lang w:val="en-GB"/>
        </w:rPr>
        <w:t>re sizes</w:t>
      </w:r>
      <w:r w:rsidR="00105E9C" w:rsidRPr="001A05FF">
        <w:rPr>
          <w:rFonts w:ascii="Arial" w:hAnsi="Arial" w:cs="Arial"/>
          <w:sz w:val="22"/>
          <w:szCs w:val="22"/>
          <w:lang w:val="en-GB"/>
        </w:rPr>
        <w:t xml:space="preserve"> will be 250/620R13 for front tyres and 360/620R13 for rear ty</w:t>
      </w:r>
      <w:r w:rsidRPr="001A05FF">
        <w:rPr>
          <w:rFonts w:ascii="Arial" w:hAnsi="Arial" w:cs="Arial"/>
          <w:sz w:val="22"/>
          <w:szCs w:val="22"/>
          <w:lang w:val="en-GB"/>
        </w:rPr>
        <w:t>re</w:t>
      </w:r>
      <w:r w:rsidR="002E3794" w:rsidRPr="001A05FF">
        <w:rPr>
          <w:rFonts w:ascii="Arial" w:hAnsi="Arial" w:cs="Arial"/>
          <w:sz w:val="22"/>
          <w:szCs w:val="22"/>
          <w:lang w:val="en-GB"/>
        </w:rPr>
        <w:t>s (Note: 250 and 360 refer to ty</w:t>
      </w:r>
      <w:r w:rsidRPr="001A05FF">
        <w:rPr>
          <w:rFonts w:ascii="Arial" w:hAnsi="Arial" w:cs="Arial"/>
          <w:sz w:val="22"/>
          <w:szCs w:val="22"/>
          <w:lang w:val="en-GB"/>
        </w:rPr>
        <w:t xml:space="preserve">re width and 620 to the outer diameter size, both in </w:t>
      </w:r>
      <w:r w:rsidR="00F7227E" w:rsidRPr="001A05FF">
        <w:rPr>
          <w:rFonts w:ascii="Arial" w:hAnsi="Arial" w:cs="Arial"/>
          <w:sz w:val="22"/>
          <w:szCs w:val="22"/>
          <w:lang w:val="en-GB"/>
        </w:rPr>
        <w:t>millimetres</w:t>
      </w:r>
      <w:r w:rsidRPr="001A05FF">
        <w:rPr>
          <w:rFonts w:ascii="Arial" w:hAnsi="Arial" w:cs="Arial"/>
          <w:sz w:val="22"/>
          <w:szCs w:val="22"/>
          <w:lang w:val="en-GB"/>
        </w:rPr>
        <w:t xml:space="preserve">). </w:t>
      </w:r>
    </w:p>
    <w:p w:rsidR="00F7227E" w:rsidRPr="001A05FF" w:rsidRDefault="00F7227E" w:rsidP="00F7227E">
      <w:pPr>
        <w:pStyle w:val="Default"/>
        <w:jc w:val="both"/>
        <w:rPr>
          <w:rFonts w:ascii="Arial" w:hAnsi="Arial" w:cs="Arial"/>
          <w:sz w:val="22"/>
          <w:szCs w:val="22"/>
          <w:lang w:val="en-GB"/>
        </w:rPr>
      </w:pPr>
    </w:p>
    <w:p w:rsidR="00C371FD" w:rsidRPr="001A05FF" w:rsidRDefault="00C371FD" w:rsidP="00F7227E">
      <w:pPr>
        <w:pStyle w:val="Default"/>
        <w:jc w:val="both"/>
        <w:rPr>
          <w:rFonts w:ascii="Arial" w:hAnsi="Arial" w:cs="Arial"/>
          <w:sz w:val="22"/>
          <w:szCs w:val="22"/>
          <w:lang w:val="en-GB"/>
        </w:rPr>
      </w:pPr>
      <w:r w:rsidRPr="001A05FF">
        <w:rPr>
          <w:rFonts w:ascii="Arial" w:hAnsi="Arial" w:cs="Arial"/>
          <w:sz w:val="22"/>
          <w:szCs w:val="22"/>
          <w:lang w:val="en-GB"/>
        </w:rPr>
        <w:t>The Japanese SUPER FORMULA Championship Series is Asia’s highest level racing series for formula cars, the purest form of racing car. The series began in 1996 as the Japanese Championship Formula Nippon series and was re</w:t>
      </w:r>
      <w:r w:rsidR="00F7227E" w:rsidRPr="001A05FF">
        <w:rPr>
          <w:rFonts w:ascii="Arial" w:hAnsi="Arial" w:cs="Arial"/>
          <w:sz w:val="22"/>
          <w:szCs w:val="22"/>
          <w:lang w:val="en-GB"/>
        </w:rPr>
        <w:t>-</w:t>
      </w:r>
      <w:r w:rsidRPr="001A05FF">
        <w:rPr>
          <w:rFonts w:ascii="Arial" w:hAnsi="Arial" w:cs="Arial"/>
          <w:sz w:val="22"/>
          <w:szCs w:val="22"/>
          <w:lang w:val="en-GB"/>
        </w:rPr>
        <w:t xml:space="preserve">launched in 2013 as the Japanese Championship Super Formula in recognition of the series’ growing reputation around the world, especially in Asia. </w:t>
      </w:r>
      <w:r w:rsidR="00105E9C" w:rsidRPr="001A05FF">
        <w:rPr>
          <w:rFonts w:ascii="Arial" w:hAnsi="Arial" w:cs="Arial"/>
          <w:sz w:val="22"/>
          <w:szCs w:val="22"/>
          <w:lang w:val="en-GB"/>
        </w:rPr>
        <w:t>YOKOHAMA</w:t>
      </w:r>
      <w:r w:rsidRPr="001A05FF">
        <w:rPr>
          <w:rFonts w:ascii="Arial" w:hAnsi="Arial" w:cs="Arial"/>
          <w:sz w:val="22"/>
          <w:szCs w:val="22"/>
          <w:lang w:val="en-GB"/>
        </w:rPr>
        <w:t xml:space="preserve"> has been an enthusiastic supporter and participant in formula car races in Japan since 1980’s All-Japan Formula 2 Championship series. The Company also began participating in the All-Japan F3000 Championship in 1987. YOKOHAMA participated in the initial Formula Nippon se</w:t>
      </w:r>
      <w:r w:rsidR="00EF42EE" w:rsidRPr="001A05FF">
        <w:rPr>
          <w:rFonts w:ascii="Arial" w:hAnsi="Arial" w:cs="Arial"/>
          <w:sz w:val="22"/>
          <w:szCs w:val="22"/>
          <w:lang w:val="en-GB"/>
        </w:rPr>
        <w:t>ries in 1996, but a different ty</w:t>
      </w:r>
      <w:r w:rsidRPr="001A05FF">
        <w:rPr>
          <w:rFonts w:ascii="Arial" w:hAnsi="Arial" w:cs="Arial"/>
          <w:sz w:val="22"/>
          <w:szCs w:val="22"/>
          <w:lang w:val="en-GB"/>
        </w:rPr>
        <w:t>re maker began supplying the control t</w:t>
      </w:r>
      <w:r w:rsidR="00EF42EE" w:rsidRPr="001A05FF">
        <w:rPr>
          <w:rFonts w:ascii="Arial" w:hAnsi="Arial" w:cs="Arial"/>
          <w:sz w:val="22"/>
          <w:szCs w:val="22"/>
          <w:lang w:val="en-GB"/>
        </w:rPr>
        <w:t>y</w:t>
      </w:r>
      <w:r w:rsidRPr="001A05FF">
        <w:rPr>
          <w:rFonts w:ascii="Arial" w:hAnsi="Arial" w:cs="Arial"/>
          <w:sz w:val="22"/>
          <w:szCs w:val="22"/>
          <w:lang w:val="en-GB"/>
        </w:rPr>
        <w:t>res in 1997. In 2016, Japan’s top formula car racing s</w:t>
      </w:r>
      <w:r w:rsidR="00EF42EE" w:rsidRPr="001A05FF">
        <w:rPr>
          <w:rFonts w:ascii="Arial" w:hAnsi="Arial" w:cs="Arial"/>
          <w:sz w:val="22"/>
          <w:szCs w:val="22"/>
          <w:lang w:val="en-GB"/>
        </w:rPr>
        <w:t>eries will be run on YOKOHAMA ty</w:t>
      </w:r>
      <w:r w:rsidRPr="001A05FF">
        <w:rPr>
          <w:rFonts w:ascii="Arial" w:hAnsi="Arial" w:cs="Arial"/>
          <w:sz w:val="22"/>
          <w:szCs w:val="22"/>
          <w:lang w:val="en-GB"/>
        </w:rPr>
        <w:t xml:space="preserve">res for the first time in 20 years. </w:t>
      </w:r>
    </w:p>
    <w:p w:rsidR="00F7227E" w:rsidRPr="001A05FF" w:rsidRDefault="00F7227E" w:rsidP="00F7227E">
      <w:pPr>
        <w:pStyle w:val="Default"/>
        <w:jc w:val="both"/>
        <w:rPr>
          <w:rFonts w:ascii="Arial" w:hAnsi="Arial" w:cs="Arial"/>
          <w:sz w:val="22"/>
          <w:szCs w:val="22"/>
          <w:lang w:val="en-GB"/>
        </w:rPr>
      </w:pPr>
    </w:p>
    <w:p w:rsidR="00886B87" w:rsidRPr="001A05FF" w:rsidRDefault="00C371FD" w:rsidP="00F7227E">
      <w:pPr>
        <w:pStyle w:val="Default"/>
        <w:jc w:val="both"/>
        <w:rPr>
          <w:rFonts w:ascii="Arial" w:hAnsi="Arial" w:cs="Arial"/>
          <w:b/>
          <w:bCs/>
          <w:i/>
          <w:iCs/>
          <w:sz w:val="22"/>
          <w:szCs w:val="22"/>
          <w:lang w:val="en-GB"/>
        </w:rPr>
      </w:pPr>
      <w:r w:rsidRPr="001A05FF">
        <w:rPr>
          <w:rFonts w:ascii="Arial" w:hAnsi="Arial" w:cs="Arial"/>
          <w:sz w:val="22"/>
          <w:szCs w:val="22"/>
          <w:lang w:val="en-GB"/>
        </w:rPr>
        <w:t>YOKOHAMA has served as the official t</w:t>
      </w:r>
      <w:r w:rsidR="00EF42EE" w:rsidRPr="001A05FF">
        <w:rPr>
          <w:rFonts w:ascii="Arial" w:hAnsi="Arial" w:cs="Arial"/>
          <w:sz w:val="22"/>
          <w:szCs w:val="22"/>
          <w:lang w:val="en-GB"/>
        </w:rPr>
        <w:t>y</w:t>
      </w:r>
      <w:r w:rsidRPr="001A05FF">
        <w:rPr>
          <w:rFonts w:ascii="Arial" w:hAnsi="Arial" w:cs="Arial"/>
          <w:sz w:val="22"/>
          <w:szCs w:val="22"/>
          <w:lang w:val="en-GB"/>
        </w:rPr>
        <w:t>re supplier for many other top-level racing series in Japan and overseas. Overseas, the Company has been the official t</w:t>
      </w:r>
      <w:r w:rsidR="00EF42EE" w:rsidRPr="001A05FF">
        <w:rPr>
          <w:rFonts w:ascii="Arial" w:hAnsi="Arial" w:cs="Arial"/>
          <w:sz w:val="22"/>
          <w:szCs w:val="22"/>
          <w:lang w:val="en-GB"/>
        </w:rPr>
        <w:t>y</w:t>
      </w:r>
      <w:r w:rsidRPr="001A05FF">
        <w:rPr>
          <w:rFonts w:ascii="Arial" w:hAnsi="Arial" w:cs="Arial"/>
          <w:sz w:val="22"/>
          <w:szCs w:val="22"/>
          <w:lang w:val="en-GB"/>
        </w:rPr>
        <w:t>re supplier for the FIA World Touring Car Championships for 10 straight years since 2006, the Macau Grand Prix’s feature Formula 3 race for 33 straight years, the FIA Formula 2 Championship, and the German Formula 3 Championship. In Japan, YOKOHAMA is the official t</w:t>
      </w:r>
      <w:r w:rsidR="00EF42EE" w:rsidRPr="001A05FF">
        <w:rPr>
          <w:rFonts w:ascii="Arial" w:hAnsi="Arial" w:cs="Arial"/>
          <w:sz w:val="22"/>
          <w:szCs w:val="22"/>
          <w:lang w:val="en-GB"/>
        </w:rPr>
        <w:t>y</w:t>
      </w:r>
      <w:r w:rsidRPr="001A05FF">
        <w:rPr>
          <w:rFonts w:ascii="Arial" w:hAnsi="Arial" w:cs="Arial"/>
          <w:sz w:val="22"/>
          <w:szCs w:val="22"/>
          <w:lang w:val="en-GB"/>
        </w:rPr>
        <w:t>re supplier for a wide variety of racing series, including the Japanese Formula 3 Championship, the Super Taikyu Series, the Super-FJ, and the FP-Junior category of the JAF Junior Karting Championship. The selection of YOKAHAMA as</w:t>
      </w:r>
      <w:r w:rsidR="00EF42EE" w:rsidRPr="001A05FF">
        <w:rPr>
          <w:rFonts w:ascii="Arial" w:hAnsi="Arial" w:cs="Arial"/>
          <w:sz w:val="22"/>
          <w:szCs w:val="22"/>
          <w:lang w:val="en-GB"/>
        </w:rPr>
        <w:t xml:space="preserve"> the sole supplier of control ty</w:t>
      </w:r>
      <w:r w:rsidRPr="001A05FF">
        <w:rPr>
          <w:rFonts w:ascii="Arial" w:hAnsi="Arial" w:cs="Arial"/>
          <w:sz w:val="22"/>
          <w:szCs w:val="22"/>
          <w:lang w:val="en-GB"/>
        </w:rPr>
        <w:t>res for the Japanese SUPER FORMULA Championship Series was based not only on the hi</w:t>
      </w:r>
      <w:r w:rsidR="00EF42EE" w:rsidRPr="001A05FF">
        <w:rPr>
          <w:rFonts w:ascii="Arial" w:hAnsi="Arial" w:cs="Arial"/>
          <w:sz w:val="22"/>
          <w:szCs w:val="22"/>
          <w:lang w:val="en-GB"/>
        </w:rPr>
        <w:t>gh performance of the “ADVAN” ty</w:t>
      </w:r>
      <w:r w:rsidRPr="001A05FF">
        <w:rPr>
          <w:rFonts w:ascii="Arial" w:hAnsi="Arial" w:cs="Arial"/>
          <w:sz w:val="22"/>
          <w:szCs w:val="22"/>
          <w:lang w:val="en-GB"/>
        </w:rPr>
        <w:t>res but also on the high evaluation of YOKAHAMA’s comprehensive capabilities, including on-circuit t</w:t>
      </w:r>
      <w:r w:rsidR="002E3794" w:rsidRPr="001A05FF">
        <w:rPr>
          <w:rFonts w:ascii="Arial" w:hAnsi="Arial" w:cs="Arial"/>
          <w:sz w:val="22"/>
          <w:szCs w:val="22"/>
          <w:lang w:val="en-GB"/>
        </w:rPr>
        <w:t>y</w:t>
      </w:r>
      <w:r w:rsidRPr="001A05FF">
        <w:rPr>
          <w:rFonts w:ascii="Arial" w:hAnsi="Arial" w:cs="Arial"/>
          <w:sz w:val="22"/>
          <w:szCs w:val="22"/>
          <w:lang w:val="en-GB"/>
        </w:rPr>
        <w:t>re-changing services and a stable production cap</w:t>
      </w:r>
      <w:r w:rsidR="00EF42EE" w:rsidRPr="001A05FF">
        <w:rPr>
          <w:rFonts w:ascii="Arial" w:hAnsi="Arial" w:cs="Arial"/>
          <w:sz w:val="22"/>
          <w:szCs w:val="22"/>
          <w:lang w:val="en-GB"/>
        </w:rPr>
        <w:t>acity for high-performance ty</w:t>
      </w:r>
      <w:r w:rsidRPr="001A05FF">
        <w:rPr>
          <w:rFonts w:ascii="Arial" w:hAnsi="Arial" w:cs="Arial"/>
          <w:sz w:val="22"/>
          <w:szCs w:val="22"/>
          <w:lang w:val="en-GB"/>
        </w:rPr>
        <w:t>res.</w:t>
      </w:r>
    </w:p>
    <w:p w:rsidR="00F7227E" w:rsidRPr="001A05FF" w:rsidRDefault="00F7227E" w:rsidP="00F7227E">
      <w:pPr>
        <w:pStyle w:val="Default"/>
        <w:jc w:val="center"/>
        <w:rPr>
          <w:rFonts w:ascii="Arial" w:hAnsi="Arial" w:cs="Arial"/>
          <w:bCs/>
          <w:i/>
          <w:iCs/>
          <w:sz w:val="22"/>
          <w:szCs w:val="22"/>
          <w:lang w:val="en-GB"/>
        </w:rPr>
      </w:pPr>
    </w:p>
    <w:p w:rsidR="00F7227E" w:rsidRPr="001A05FF" w:rsidRDefault="00F7227E" w:rsidP="00F7227E">
      <w:pPr>
        <w:pStyle w:val="Default"/>
        <w:jc w:val="center"/>
        <w:rPr>
          <w:rFonts w:ascii="Arial" w:hAnsi="Arial" w:cs="Arial"/>
          <w:sz w:val="22"/>
          <w:szCs w:val="22"/>
          <w:lang w:val="en-GB"/>
        </w:rPr>
      </w:pPr>
      <w:r w:rsidRPr="001A05FF">
        <w:rPr>
          <w:rFonts w:ascii="Arial" w:hAnsi="Arial" w:cs="Arial"/>
          <w:noProof/>
          <w:sz w:val="22"/>
          <w:szCs w:val="22"/>
          <w:lang w:val="en-GB"/>
        </w:rPr>
        <w:drawing>
          <wp:inline distT="0" distB="0" distL="0" distR="0">
            <wp:extent cx="2880000" cy="1909640"/>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880000" cy="1909640"/>
                    </a:xfrm>
                    <a:prstGeom prst="rect">
                      <a:avLst/>
                    </a:prstGeom>
                    <a:noFill/>
                    <a:ln w="9525">
                      <a:noFill/>
                      <a:miter lim="800000"/>
                      <a:headEnd/>
                      <a:tailEnd/>
                    </a:ln>
                  </pic:spPr>
                </pic:pic>
              </a:graphicData>
            </a:graphic>
          </wp:inline>
        </w:drawing>
      </w:r>
    </w:p>
    <w:p w:rsidR="00F7227E" w:rsidRPr="001A05FF" w:rsidRDefault="00F7227E" w:rsidP="00F7227E">
      <w:pPr>
        <w:pStyle w:val="Default"/>
        <w:jc w:val="center"/>
        <w:rPr>
          <w:rFonts w:ascii="Arial" w:hAnsi="Arial" w:cs="Arial"/>
          <w:i/>
          <w:sz w:val="18"/>
          <w:szCs w:val="18"/>
          <w:lang w:val="en-GB"/>
        </w:rPr>
      </w:pPr>
      <w:r w:rsidRPr="001A05FF">
        <w:rPr>
          <w:rFonts w:ascii="Arial" w:hAnsi="Arial" w:cs="Arial"/>
          <w:i/>
          <w:sz w:val="18"/>
          <w:szCs w:val="18"/>
          <w:lang w:val="en-GB"/>
        </w:rPr>
        <w:t>“ADVAN A005” tyre on a Super Formula racing car</w:t>
      </w:r>
    </w:p>
    <w:p w:rsidR="00F7227E" w:rsidRPr="001A05FF" w:rsidRDefault="00F7227E" w:rsidP="00F7227E">
      <w:pPr>
        <w:pStyle w:val="Default"/>
        <w:jc w:val="center"/>
        <w:rPr>
          <w:rFonts w:ascii="Arial" w:hAnsi="Arial" w:cs="Arial"/>
          <w:i/>
          <w:sz w:val="18"/>
          <w:szCs w:val="18"/>
          <w:lang w:val="en-GB"/>
        </w:rPr>
      </w:pPr>
    </w:p>
    <w:p w:rsidR="00F7227E" w:rsidRPr="001A05FF" w:rsidRDefault="00F7227E" w:rsidP="00F7227E">
      <w:pPr>
        <w:pStyle w:val="Default"/>
        <w:jc w:val="center"/>
        <w:rPr>
          <w:rFonts w:ascii="Arial" w:hAnsi="Arial" w:cs="Arial"/>
          <w:i/>
          <w:sz w:val="18"/>
          <w:szCs w:val="18"/>
          <w:lang w:val="en-GB"/>
        </w:rPr>
      </w:pPr>
    </w:p>
    <w:p w:rsidR="00F7227E" w:rsidRPr="001A05FF" w:rsidRDefault="00F7227E" w:rsidP="00F7227E">
      <w:pPr>
        <w:pStyle w:val="Default"/>
        <w:jc w:val="center"/>
        <w:rPr>
          <w:rFonts w:ascii="Arial" w:hAnsi="Arial" w:cs="Arial"/>
          <w:i/>
          <w:sz w:val="18"/>
          <w:szCs w:val="18"/>
          <w:lang w:val="en-GB"/>
        </w:rPr>
      </w:pPr>
    </w:p>
    <w:p w:rsidR="00F7227E" w:rsidRPr="001A05FF" w:rsidRDefault="00F7227E" w:rsidP="00F7227E">
      <w:pPr>
        <w:pStyle w:val="Default"/>
        <w:jc w:val="center"/>
        <w:rPr>
          <w:rFonts w:ascii="Arial" w:hAnsi="Arial" w:cs="Arial"/>
          <w:i/>
          <w:sz w:val="18"/>
          <w:szCs w:val="18"/>
          <w:lang w:val="en-GB"/>
        </w:rPr>
      </w:pPr>
    </w:p>
    <w:p w:rsidR="00F7227E" w:rsidRPr="001A05FF" w:rsidRDefault="00F7227E" w:rsidP="00F7227E">
      <w:pPr>
        <w:pStyle w:val="Default"/>
        <w:jc w:val="center"/>
        <w:rPr>
          <w:rFonts w:ascii="Arial" w:hAnsi="Arial" w:cs="Arial"/>
          <w:i/>
          <w:sz w:val="18"/>
          <w:szCs w:val="18"/>
          <w:lang w:val="en-GB"/>
        </w:rPr>
      </w:pPr>
    </w:p>
    <w:p w:rsidR="00F7227E" w:rsidRPr="001A05FF" w:rsidRDefault="00F7227E" w:rsidP="00F7227E">
      <w:pPr>
        <w:pStyle w:val="Default"/>
        <w:jc w:val="center"/>
        <w:rPr>
          <w:rFonts w:ascii="Arial" w:hAnsi="Arial" w:cs="Arial"/>
          <w:i/>
          <w:sz w:val="18"/>
          <w:szCs w:val="18"/>
          <w:lang w:val="en-GB"/>
        </w:rPr>
      </w:pPr>
    </w:p>
    <w:p w:rsidR="00F7227E" w:rsidRPr="001A05FF" w:rsidRDefault="00F7227E" w:rsidP="00F7227E">
      <w:pPr>
        <w:pStyle w:val="Default"/>
        <w:jc w:val="center"/>
        <w:rPr>
          <w:rFonts w:ascii="Arial" w:hAnsi="Arial" w:cs="Arial"/>
          <w:i/>
          <w:sz w:val="18"/>
          <w:szCs w:val="18"/>
          <w:lang w:val="en-GB"/>
        </w:rPr>
      </w:pPr>
    </w:p>
    <w:p w:rsidR="00F7227E" w:rsidRPr="001A05FF" w:rsidRDefault="00F7227E" w:rsidP="00F7227E">
      <w:pPr>
        <w:pStyle w:val="Default"/>
        <w:jc w:val="center"/>
        <w:rPr>
          <w:rFonts w:ascii="Arial" w:hAnsi="Arial" w:cs="Arial"/>
          <w:i/>
          <w:sz w:val="18"/>
          <w:szCs w:val="18"/>
          <w:lang w:val="en-GB"/>
        </w:rPr>
      </w:pPr>
    </w:p>
    <w:p w:rsidR="00F7227E" w:rsidRPr="001A05FF" w:rsidRDefault="00F7227E" w:rsidP="00F7227E">
      <w:pPr>
        <w:pStyle w:val="Default"/>
        <w:jc w:val="center"/>
        <w:rPr>
          <w:rFonts w:ascii="Arial" w:hAnsi="Arial" w:cs="Arial"/>
          <w:i/>
          <w:sz w:val="18"/>
          <w:szCs w:val="18"/>
          <w:lang w:val="en-GB"/>
        </w:rPr>
      </w:pPr>
      <w:r w:rsidRPr="001A05FF">
        <w:rPr>
          <w:rFonts w:ascii="Arial" w:hAnsi="Arial" w:cs="Arial"/>
          <w:i/>
          <w:noProof/>
          <w:sz w:val="18"/>
          <w:szCs w:val="18"/>
          <w:lang w:val="en-GB"/>
        </w:rPr>
        <w:drawing>
          <wp:inline distT="0" distB="0" distL="0" distR="0">
            <wp:extent cx="2880000" cy="1914849"/>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80000" cy="1914849"/>
                    </a:xfrm>
                    <a:prstGeom prst="rect">
                      <a:avLst/>
                    </a:prstGeom>
                    <a:noFill/>
                    <a:ln w="9525">
                      <a:noFill/>
                      <a:miter lim="800000"/>
                      <a:headEnd/>
                      <a:tailEnd/>
                    </a:ln>
                  </pic:spPr>
                </pic:pic>
              </a:graphicData>
            </a:graphic>
          </wp:inline>
        </w:drawing>
      </w:r>
    </w:p>
    <w:p w:rsidR="00F7227E" w:rsidRPr="001A05FF" w:rsidRDefault="00F7227E" w:rsidP="00F7227E">
      <w:pPr>
        <w:pStyle w:val="Default"/>
        <w:jc w:val="center"/>
        <w:rPr>
          <w:bCs/>
          <w:i/>
          <w:iCs/>
          <w:sz w:val="18"/>
          <w:szCs w:val="18"/>
          <w:lang w:val="en-GB"/>
        </w:rPr>
      </w:pPr>
      <w:r w:rsidRPr="001A05FF">
        <w:rPr>
          <w:bCs/>
          <w:i/>
          <w:iCs/>
          <w:sz w:val="18"/>
          <w:szCs w:val="18"/>
          <w:lang w:val="en-GB"/>
        </w:rPr>
        <w:t>“ADVAN A005” rear tyre</w:t>
      </w:r>
    </w:p>
    <w:p w:rsidR="00F7227E" w:rsidRPr="001A05FF" w:rsidRDefault="00F7227E" w:rsidP="00F7227E">
      <w:pPr>
        <w:pStyle w:val="Default"/>
        <w:jc w:val="center"/>
        <w:rPr>
          <w:bCs/>
          <w:i/>
          <w:iCs/>
          <w:sz w:val="18"/>
          <w:szCs w:val="18"/>
          <w:lang w:val="en-GB"/>
        </w:rPr>
      </w:pPr>
    </w:p>
    <w:p w:rsidR="00F7227E" w:rsidRPr="001A05FF" w:rsidRDefault="00F7227E" w:rsidP="00F7227E">
      <w:pPr>
        <w:pStyle w:val="Default"/>
        <w:jc w:val="center"/>
        <w:rPr>
          <w:rFonts w:ascii="Arial" w:hAnsi="Arial" w:cs="Arial"/>
          <w:i/>
          <w:sz w:val="18"/>
          <w:szCs w:val="18"/>
          <w:lang w:val="en-GB"/>
        </w:rPr>
      </w:pPr>
      <w:r w:rsidRPr="001A05FF">
        <w:rPr>
          <w:rFonts w:ascii="Arial" w:hAnsi="Arial" w:cs="Arial"/>
          <w:i/>
          <w:noProof/>
          <w:sz w:val="18"/>
          <w:szCs w:val="18"/>
          <w:lang w:val="en-GB"/>
        </w:rPr>
        <w:drawing>
          <wp:inline distT="0" distB="0" distL="0" distR="0">
            <wp:extent cx="2880000" cy="1914849"/>
            <wp:effectExtent l="19050" t="0" r="0" b="0"/>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880000" cy="1914849"/>
                    </a:xfrm>
                    <a:prstGeom prst="rect">
                      <a:avLst/>
                    </a:prstGeom>
                    <a:noFill/>
                    <a:ln w="9525">
                      <a:noFill/>
                      <a:miter lim="800000"/>
                      <a:headEnd/>
                      <a:tailEnd/>
                    </a:ln>
                  </pic:spPr>
                </pic:pic>
              </a:graphicData>
            </a:graphic>
          </wp:inline>
        </w:drawing>
      </w:r>
    </w:p>
    <w:p w:rsidR="00F7227E" w:rsidRPr="001A05FF" w:rsidRDefault="00F7227E" w:rsidP="00F7227E">
      <w:pPr>
        <w:pStyle w:val="Default"/>
        <w:jc w:val="center"/>
        <w:rPr>
          <w:rFonts w:ascii="Arial" w:hAnsi="Arial" w:cs="Arial"/>
          <w:i/>
          <w:sz w:val="18"/>
          <w:szCs w:val="18"/>
          <w:lang w:val="en-GB"/>
        </w:rPr>
      </w:pPr>
      <w:r w:rsidRPr="001A05FF">
        <w:rPr>
          <w:bCs/>
          <w:i/>
          <w:iCs/>
          <w:sz w:val="18"/>
          <w:szCs w:val="18"/>
          <w:lang w:val="en-GB"/>
        </w:rPr>
        <w:t>“ADVAN” racing tyre on a Super Formula racing car and Racing tyre service trailer</w:t>
      </w:r>
    </w:p>
    <w:sectPr w:rsidR="00F7227E" w:rsidRPr="001A05FF"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5E9C" w:rsidRDefault="00105E9C" w:rsidP="00B25742">
      <w:r>
        <w:separator/>
      </w:r>
    </w:p>
  </w:endnote>
  <w:endnote w:type="continuationSeparator" w:id="0">
    <w:p w:rsidR="00105E9C" w:rsidRDefault="00105E9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E9C" w:rsidRDefault="00105E9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E9C" w:rsidRDefault="00105E9C">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E9C" w:rsidRDefault="00105E9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5E9C" w:rsidRDefault="00105E9C" w:rsidP="00B25742">
      <w:r>
        <w:separator/>
      </w:r>
    </w:p>
  </w:footnote>
  <w:footnote w:type="continuationSeparator" w:id="0">
    <w:p w:rsidR="00105E9C" w:rsidRDefault="00105E9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E9C" w:rsidRDefault="00105E9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E9C" w:rsidRPr="00B25742" w:rsidRDefault="00105E9C"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5E9C" w:rsidRDefault="00105E9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05E9C"/>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5FF"/>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E3794"/>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618E5"/>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371FD"/>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42EE"/>
    <w:rsid w:val="00EF6F47"/>
    <w:rsid w:val="00F01D11"/>
    <w:rsid w:val="00F03FDF"/>
    <w:rsid w:val="00F0741B"/>
    <w:rsid w:val="00F24F50"/>
    <w:rsid w:val="00F272C1"/>
    <w:rsid w:val="00F3644F"/>
    <w:rsid w:val="00F43445"/>
    <w:rsid w:val="00F45662"/>
    <w:rsid w:val="00F53207"/>
    <w:rsid w:val="00F57233"/>
    <w:rsid w:val="00F63777"/>
    <w:rsid w:val="00F7227E"/>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C371FD"/>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2385</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6</cp:revision>
  <cp:lastPrinted>2014-08-28T15:02:00Z</cp:lastPrinted>
  <dcterms:created xsi:type="dcterms:W3CDTF">2015-10-29T08:22:00Z</dcterms:created>
  <dcterms:modified xsi:type="dcterms:W3CDTF">2015-10-29T08:32:00Z</dcterms:modified>
</cp:coreProperties>
</file>